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819" w:rsidRDefault="00DF6819" w:rsidP="00DF6819">
      <w:pPr>
        <w:spacing w:line="480" w:lineRule="auto"/>
        <w:rPr>
          <w:rFonts w:ascii="Times New Roman" w:hAnsi="Times New Roman" w:cs="Times New Roman"/>
          <w:sz w:val="24"/>
          <w:szCs w:val="24"/>
        </w:rPr>
      </w:pPr>
    </w:p>
    <w:p w:rsidR="00DF6819" w:rsidRDefault="00DF6819" w:rsidP="00DF6819">
      <w:pPr>
        <w:spacing w:line="480" w:lineRule="auto"/>
        <w:rPr>
          <w:rFonts w:ascii="Times New Roman" w:hAnsi="Times New Roman" w:cs="Times New Roman"/>
          <w:sz w:val="24"/>
          <w:szCs w:val="24"/>
        </w:rPr>
      </w:pPr>
    </w:p>
    <w:p w:rsidR="00DF6819" w:rsidRDefault="00DF6819" w:rsidP="00DF6819">
      <w:pPr>
        <w:spacing w:line="480" w:lineRule="auto"/>
        <w:rPr>
          <w:rFonts w:ascii="Times New Roman" w:hAnsi="Times New Roman" w:cs="Times New Roman"/>
          <w:sz w:val="24"/>
          <w:szCs w:val="24"/>
        </w:rPr>
      </w:pPr>
    </w:p>
    <w:p w:rsidR="00DF6819" w:rsidRDefault="00DF6819" w:rsidP="00DF6819">
      <w:pPr>
        <w:spacing w:line="480" w:lineRule="auto"/>
        <w:rPr>
          <w:rFonts w:ascii="Times New Roman" w:hAnsi="Times New Roman" w:cs="Times New Roman"/>
          <w:sz w:val="24"/>
          <w:szCs w:val="24"/>
        </w:rPr>
      </w:pPr>
    </w:p>
    <w:p w:rsidR="00DF6819" w:rsidRDefault="00DF6819" w:rsidP="00DF6819">
      <w:pPr>
        <w:spacing w:line="480" w:lineRule="auto"/>
        <w:rPr>
          <w:rFonts w:ascii="Times New Roman" w:hAnsi="Times New Roman" w:cs="Times New Roman"/>
          <w:sz w:val="24"/>
          <w:szCs w:val="24"/>
        </w:rPr>
      </w:pPr>
    </w:p>
    <w:p w:rsidR="00DF6819" w:rsidRDefault="00DF6819" w:rsidP="00DF6819">
      <w:pPr>
        <w:spacing w:line="480" w:lineRule="auto"/>
        <w:rPr>
          <w:rFonts w:ascii="Times New Roman" w:hAnsi="Times New Roman" w:cs="Times New Roman"/>
          <w:sz w:val="24"/>
          <w:szCs w:val="24"/>
        </w:rPr>
      </w:pPr>
    </w:p>
    <w:p w:rsidR="00DF6819" w:rsidRDefault="00DF6819" w:rsidP="00DF6819">
      <w:pPr>
        <w:spacing w:line="480" w:lineRule="auto"/>
        <w:rPr>
          <w:rFonts w:ascii="Times New Roman" w:hAnsi="Times New Roman" w:cs="Times New Roman"/>
          <w:sz w:val="24"/>
          <w:szCs w:val="24"/>
        </w:rPr>
      </w:pPr>
    </w:p>
    <w:p w:rsidR="00DF6819" w:rsidRDefault="00DF6819" w:rsidP="00A7458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Labor Relations</w:t>
      </w:r>
    </w:p>
    <w:p w:rsidR="00DF6819" w:rsidRDefault="00DF6819" w:rsidP="00A7458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DF6819" w:rsidRDefault="00DF6819" w:rsidP="00A7458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DF6819" w:rsidRDefault="00DF6819">
      <w:pPr>
        <w:rPr>
          <w:rFonts w:ascii="Times New Roman" w:hAnsi="Times New Roman" w:cs="Times New Roman"/>
          <w:sz w:val="24"/>
          <w:szCs w:val="24"/>
        </w:rPr>
      </w:pPr>
      <w:r>
        <w:rPr>
          <w:rFonts w:ascii="Times New Roman" w:hAnsi="Times New Roman" w:cs="Times New Roman"/>
          <w:sz w:val="24"/>
          <w:szCs w:val="24"/>
        </w:rPr>
        <w:br w:type="page"/>
      </w:r>
    </w:p>
    <w:p w:rsidR="00DF6819" w:rsidRDefault="00DF6819" w:rsidP="00A7458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Labor Relations</w:t>
      </w:r>
    </w:p>
    <w:p w:rsidR="00DF6819" w:rsidRPr="00DF6819" w:rsidRDefault="00DF6819" w:rsidP="00A7458E">
      <w:pPr>
        <w:spacing w:after="0" w:line="480" w:lineRule="auto"/>
        <w:contextualSpacing/>
        <w:jc w:val="center"/>
        <w:rPr>
          <w:rFonts w:ascii="Times New Roman" w:hAnsi="Times New Roman" w:cs="Times New Roman"/>
          <w:b/>
          <w:sz w:val="24"/>
          <w:szCs w:val="24"/>
        </w:rPr>
      </w:pPr>
      <w:r w:rsidRPr="00DF6819">
        <w:rPr>
          <w:rFonts w:ascii="Times New Roman" w:hAnsi="Times New Roman" w:cs="Times New Roman"/>
          <w:b/>
          <w:sz w:val="24"/>
          <w:szCs w:val="24"/>
        </w:rPr>
        <w:t>Labor relations</w:t>
      </w:r>
    </w:p>
    <w:p w:rsidR="00DF6819" w:rsidRPr="00DF6819" w:rsidRDefault="00DF6819" w:rsidP="00A7458E">
      <w:pPr>
        <w:spacing w:after="0" w:line="480" w:lineRule="auto"/>
        <w:ind w:firstLine="720"/>
        <w:contextualSpacing/>
        <w:rPr>
          <w:rFonts w:ascii="Times New Roman" w:hAnsi="Times New Roman" w:cs="Times New Roman"/>
          <w:sz w:val="24"/>
          <w:szCs w:val="24"/>
        </w:rPr>
      </w:pPr>
      <w:r w:rsidRPr="00DF6819">
        <w:rPr>
          <w:rFonts w:ascii="Times New Roman" w:hAnsi="Times New Roman" w:cs="Times New Roman"/>
          <w:sz w:val="24"/>
          <w:szCs w:val="24"/>
        </w:rPr>
        <w:t xml:space="preserve">Labor relations can also be referred to as industrial relations. The term refers to how workers in an economy, employers as well as the government and the representatives of workers (trade unions) engage in interactions and bargaining to come up with the ground rules that guide their working relationships (Holley, Jennings, &amp; Wolters, 2012). In the same way, labor relationship can also be used when referring to the study of the working relationship between employers and employees, taking into account the direct and indirect involvement of the government (Holley, Jennings, &amp; Wolters, 2012). Therefore, the labor relations is mainly the working relationship existing between the key stakeholders in the industry to ensure that each party conducts his/her business in a just way, getting the necessary compensation with his/her rights respected. Following the industrial revolution, workers saw the need of organizing themselves, hence leading to the emergence of trade unions, which further led to the development of the rules that would guide the professional working relationship between workers and employers, hence the labor relations. </w:t>
      </w:r>
    </w:p>
    <w:p w:rsidR="00DF6819" w:rsidRPr="00DF6819" w:rsidRDefault="00DF6819" w:rsidP="00A7458E">
      <w:pPr>
        <w:spacing w:after="0" w:line="480" w:lineRule="auto"/>
        <w:contextualSpacing/>
        <w:jc w:val="center"/>
        <w:rPr>
          <w:rFonts w:ascii="Times New Roman" w:hAnsi="Times New Roman" w:cs="Times New Roman"/>
          <w:b/>
          <w:sz w:val="24"/>
          <w:szCs w:val="24"/>
        </w:rPr>
      </w:pPr>
      <w:r w:rsidRPr="00DF6819">
        <w:rPr>
          <w:rFonts w:ascii="Times New Roman" w:hAnsi="Times New Roman" w:cs="Times New Roman"/>
          <w:b/>
          <w:sz w:val="24"/>
          <w:szCs w:val="24"/>
        </w:rPr>
        <w:t>Trade Unions as Political and Economic organizations</w:t>
      </w:r>
    </w:p>
    <w:p w:rsidR="00DF6819" w:rsidRPr="00DF6819" w:rsidRDefault="00DF6819" w:rsidP="00A7458E">
      <w:pPr>
        <w:spacing w:after="0" w:line="480" w:lineRule="auto"/>
        <w:ind w:firstLine="720"/>
        <w:contextualSpacing/>
        <w:rPr>
          <w:rFonts w:ascii="Times New Roman" w:hAnsi="Times New Roman" w:cs="Times New Roman"/>
          <w:sz w:val="24"/>
          <w:szCs w:val="24"/>
        </w:rPr>
      </w:pPr>
      <w:r w:rsidRPr="00DF6819">
        <w:rPr>
          <w:rFonts w:ascii="Times New Roman" w:hAnsi="Times New Roman" w:cs="Times New Roman"/>
          <w:sz w:val="24"/>
          <w:szCs w:val="24"/>
        </w:rPr>
        <w:t>Modern trade unions exist as two organizations at the same time (Holley, Jennings, &amp; Wolters, 2012). The trade unions participate in the state and politics as well as in the labor market and collective bargain. As political organizations, the unions are given the powers to use various channels in a liberal democratic framework to influence the actions of the government. In the earlier days, the unions had the power of holding strikes to overthrow the governments. This power has been taken away by several liberal democracies as the unions have moved to accept the authority of democracy, thereby recognizing the elected leaders (Holley, Jennings, &amp; Wolters, 2012). In many countries, the labor unions tend to affiliate to significant parties of the Left or the Center-Left. The unions have the power of influencing its members to practice their political rights and vote for certain members or push for change using their democratic rights, hence acting as the political organizations. Unions have the political influences over political parties as they may serve as the recruitment grounds for the party in which they are allies as well as offering financial support to the political parties.</w:t>
      </w:r>
    </w:p>
    <w:p w:rsidR="00DF6819" w:rsidRPr="00DF6819" w:rsidRDefault="00DF6819" w:rsidP="00A7458E">
      <w:pPr>
        <w:spacing w:after="0" w:line="480" w:lineRule="auto"/>
        <w:ind w:firstLine="720"/>
        <w:contextualSpacing/>
        <w:rPr>
          <w:rFonts w:ascii="Times New Roman" w:hAnsi="Times New Roman" w:cs="Times New Roman"/>
          <w:sz w:val="24"/>
          <w:szCs w:val="24"/>
        </w:rPr>
      </w:pPr>
      <w:r w:rsidRPr="00DF6819">
        <w:rPr>
          <w:rFonts w:ascii="Times New Roman" w:hAnsi="Times New Roman" w:cs="Times New Roman"/>
          <w:sz w:val="24"/>
          <w:szCs w:val="24"/>
        </w:rPr>
        <w:t>Trade unions get their political strengths from the parastate public institutions of functional representation that include unions in their governance. For instance, the social security or labor market policy funds under the shared control of unions, employers and, in some cases, the state give unions the political power in influencing the implementation of public policies, hence becoming political organizations. Trade Unions also act as economic organizations. Notably, the unions use their collective bargaining powers to insert pressures in employers to offer better employment terms to the employees. The trade unions are essential whenever an industry needs a change in the rules that govern the working relationships and the need to better the pay of workers in the economy. In this regard, the trade unions mainly exercise their collective bargaining power to influence the changes in policies and to ensure that workers are treated with better working conditions, hence improving the economic sector of a country. This makes the trade unions be economic organizations.</w:t>
      </w:r>
    </w:p>
    <w:p w:rsidR="00DF6819" w:rsidRPr="00411EBB" w:rsidRDefault="00DF6819" w:rsidP="00A7458E">
      <w:pPr>
        <w:spacing w:after="0" w:line="480" w:lineRule="auto"/>
        <w:contextualSpacing/>
        <w:jc w:val="center"/>
        <w:rPr>
          <w:rFonts w:ascii="Times New Roman" w:hAnsi="Times New Roman" w:cs="Times New Roman"/>
          <w:b/>
          <w:sz w:val="24"/>
          <w:szCs w:val="24"/>
        </w:rPr>
      </w:pPr>
      <w:r w:rsidRPr="00411EBB">
        <w:rPr>
          <w:rFonts w:ascii="Times New Roman" w:hAnsi="Times New Roman" w:cs="Times New Roman"/>
          <w:b/>
          <w:sz w:val="24"/>
          <w:szCs w:val="24"/>
        </w:rPr>
        <w:t>Spillover effects</w:t>
      </w:r>
    </w:p>
    <w:p w:rsidR="00DF6819" w:rsidRPr="00DF6819" w:rsidRDefault="00DF6819" w:rsidP="00A7458E">
      <w:pPr>
        <w:spacing w:after="0" w:line="480" w:lineRule="auto"/>
        <w:ind w:firstLine="720"/>
        <w:contextualSpacing/>
        <w:rPr>
          <w:rFonts w:ascii="Times New Roman" w:hAnsi="Times New Roman" w:cs="Times New Roman"/>
          <w:sz w:val="24"/>
          <w:szCs w:val="24"/>
        </w:rPr>
      </w:pPr>
      <w:r w:rsidRPr="00DF6819">
        <w:rPr>
          <w:rFonts w:ascii="Times New Roman" w:hAnsi="Times New Roman" w:cs="Times New Roman"/>
          <w:sz w:val="24"/>
          <w:szCs w:val="24"/>
        </w:rPr>
        <w:t>Spillover effects refer to the actions that take place in one area of an economy due to the actions of another area that is not related (Holley, Jennings, &amp; Wolters, 2012). For instance, in labor relations, the spillover effect may refer to the effects that are experienced in nonunionized areas of the economy due to the actions of unionized areas. An example would be the resulting increase in wages for employees in nonunionized regions due to the increasing salaries of unionized workers. This usually happens when the unionized workers have pushed for their salaries to be increased, and the nonunionized employers react by increasing the wages for their workers to curb the loss of workers to the employers working in the unionized areas as well as to maintain equality.</w:t>
      </w:r>
    </w:p>
    <w:p w:rsidR="00DF6819" w:rsidRPr="00411EBB" w:rsidRDefault="00DF6819" w:rsidP="00A7458E">
      <w:pPr>
        <w:spacing w:after="0" w:line="480" w:lineRule="auto"/>
        <w:contextualSpacing/>
        <w:jc w:val="center"/>
        <w:rPr>
          <w:rFonts w:ascii="Times New Roman" w:hAnsi="Times New Roman" w:cs="Times New Roman"/>
          <w:b/>
          <w:sz w:val="24"/>
          <w:szCs w:val="24"/>
        </w:rPr>
      </w:pPr>
      <w:r w:rsidRPr="00411EBB">
        <w:rPr>
          <w:rFonts w:ascii="Times New Roman" w:hAnsi="Times New Roman" w:cs="Times New Roman"/>
          <w:b/>
          <w:sz w:val="24"/>
          <w:szCs w:val="24"/>
        </w:rPr>
        <w:t>Conditions for Union Organization attempt</w:t>
      </w:r>
    </w:p>
    <w:p w:rsidR="00DF6819" w:rsidRPr="00DF6819" w:rsidRDefault="00DF6819" w:rsidP="00A7458E">
      <w:pPr>
        <w:spacing w:after="0" w:line="480" w:lineRule="auto"/>
        <w:ind w:firstLine="720"/>
        <w:contextualSpacing/>
        <w:rPr>
          <w:rFonts w:ascii="Times New Roman" w:hAnsi="Times New Roman" w:cs="Times New Roman"/>
          <w:sz w:val="24"/>
          <w:szCs w:val="24"/>
        </w:rPr>
      </w:pPr>
      <w:r w:rsidRPr="00DF6819">
        <w:rPr>
          <w:rFonts w:ascii="Times New Roman" w:hAnsi="Times New Roman" w:cs="Times New Roman"/>
          <w:sz w:val="24"/>
          <w:szCs w:val="24"/>
        </w:rPr>
        <w:t>To successfully organizer a trade union, the first requirement is for the organizers to talk to people and see if they are interested in a union. Once the people have shown that they are interested, the next step is for the organizers to come up with the organizing committee that will be in charge of the process. The committee must be representatives of all in terms of races, gender, ethnic and departments, thereby representing the interest of all. The committee should have all the necessary information affecting the entire stakeholders in the proposed union. The next step is the adoption of a program. In this case, the committee should adopt a program that will be the main aim of the union. The program will outline the need for the organization of the union. The next step is the formulation of membership cards, which will be used in recruiting members, which will further help in holding the union election. Once elected, the union is successful and can begin pushing for changes in an organization, or an industry.</w:t>
      </w:r>
    </w:p>
    <w:p w:rsidR="00DF6819" w:rsidRPr="00411EBB" w:rsidRDefault="00DF6819" w:rsidP="00A7458E">
      <w:pPr>
        <w:spacing w:after="0" w:line="480" w:lineRule="auto"/>
        <w:contextualSpacing/>
        <w:jc w:val="center"/>
        <w:rPr>
          <w:rFonts w:ascii="Times New Roman" w:hAnsi="Times New Roman" w:cs="Times New Roman"/>
          <w:b/>
          <w:sz w:val="24"/>
          <w:szCs w:val="24"/>
        </w:rPr>
      </w:pPr>
      <w:r w:rsidRPr="00411EBB">
        <w:rPr>
          <w:rFonts w:ascii="Times New Roman" w:hAnsi="Times New Roman" w:cs="Times New Roman"/>
          <w:b/>
          <w:sz w:val="24"/>
          <w:szCs w:val="24"/>
        </w:rPr>
        <w:t>The historical success of the Knights of Labor</w:t>
      </w:r>
    </w:p>
    <w:p w:rsidR="00DF6819" w:rsidRPr="00DF6819" w:rsidRDefault="00DF6819" w:rsidP="00A7458E">
      <w:pPr>
        <w:spacing w:after="0" w:line="480" w:lineRule="auto"/>
        <w:ind w:firstLine="720"/>
        <w:contextualSpacing/>
        <w:rPr>
          <w:rFonts w:ascii="Times New Roman" w:hAnsi="Times New Roman" w:cs="Times New Roman"/>
          <w:sz w:val="24"/>
          <w:szCs w:val="24"/>
        </w:rPr>
      </w:pPr>
      <w:r w:rsidRPr="00DF6819">
        <w:rPr>
          <w:rFonts w:ascii="Times New Roman" w:hAnsi="Times New Roman" w:cs="Times New Roman"/>
          <w:sz w:val="24"/>
          <w:szCs w:val="24"/>
        </w:rPr>
        <w:t>The Knights of labor began as a secret society of tailors in 1869 (Docherty, &amp; Van, 2012). The group recorded constant growth such that by 1886, it had more than seven hundred thousand members. The Knights of labor was successful in their push to seek the abolition of child labor, adoption of eight-hours a day work, equality in payment, whereby workers were to be paid equally for the equal level of work done as well as the approval of the graduated income tax (Docherty, &amp; Van, 2012). One of the main reason for the success of the Knights of Labor is that its leader, Powderly, was a firm believer of boycotts and arbitration but not strikes. This is typical as the trade engaged in three strikes through its thirty years. The Knights of Labor was vertically organized, giving equal inclusion of members from all industries, irrespective of the trade. Besides, the inclusivity of the Knights of labor made them successful as its members were of all skill and sexes, even including the blacks in 1883, hence more successful (Docherty, &amp; Van, 2012).</w:t>
      </w:r>
    </w:p>
    <w:p w:rsidR="00DF6819" w:rsidRPr="00411EBB" w:rsidRDefault="00DF6819" w:rsidP="00A7458E">
      <w:pPr>
        <w:spacing w:after="0" w:line="480" w:lineRule="auto"/>
        <w:contextualSpacing/>
        <w:jc w:val="center"/>
        <w:rPr>
          <w:rFonts w:ascii="Times New Roman" w:hAnsi="Times New Roman" w:cs="Times New Roman"/>
          <w:b/>
          <w:sz w:val="24"/>
          <w:szCs w:val="24"/>
        </w:rPr>
      </w:pPr>
      <w:r w:rsidRPr="00411EBB">
        <w:rPr>
          <w:rFonts w:ascii="Times New Roman" w:hAnsi="Times New Roman" w:cs="Times New Roman"/>
          <w:b/>
          <w:sz w:val="24"/>
          <w:szCs w:val="24"/>
        </w:rPr>
        <w:t>Historical importance of the Danbury Hatter’s Law Case</w:t>
      </w:r>
    </w:p>
    <w:p w:rsidR="00DF6819" w:rsidRPr="00DF6819" w:rsidRDefault="00DF6819" w:rsidP="00A7458E">
      <w:pPr>
        <w:spacing w:after="0" w:line="480" w:lineRule="auto"/>
        <w:ind w:firstLine="720"/>
        <w:contextualSpacing/>
        <w:rPr>
          <w:rFonts w:ascii="Times New Roman" w:hAnsi="Times New Roman" w:cs="Times New Roman"/>
          <w:sz w:val="24"/>
          <w:szCs w:val="24"/>
        </w:rPr>
      </w:pPr>
      <w:r w:rsidRPr="00DF6819">
        <w:rPr>
          <w:rFonts w:ascii="Times New Roman" w:hAnsi="Times New Roman" w:cs="Times New Roman"/>
          <w:sz w:val="24"/>
          <w:szCs w:val="24"/>
        </w:rPr>
        <w:t>In 1902, the United Hatters failed to organize D.E Lowe’s firm in Danbury (Cihon, &amp; Castagnera, 2008). In turn, the labor union called for the nationwide boycott of the products produced by the firm. Consequently, the firm sued the trade union, which the union was found liable for damages to the firm under the Sherman Anti-trust Act (Cihon, &amp; Castagnera, 2008). This case acted as a setback in the use of secondary boycott by a union. The case is historically significant as it helped in shaping the powers of trade unions and enabling the firms and workers to have the choice of whether becoming unionized or not. It also allowed the free competition to exist in business environments by denying forcing the trade unions to start acting within the Sherman antitrust act.</w:t>
      </w:r>
    </w:p>
    <w:p w:rsidR="00DF6819" w:rsidRPr="00411EBB" w:rsidRDefault="00DF6819" w:rsidP="00A7458E">
      <w:pPr>
        <w:spacing w:after="0" w:line="480" w:lineRule="auto"/>
        <w:contextualSpacing/>
        <w:jc w:val="center"/>
        <w:rPr>
          <w:rFonts w:ascii="Times New Roman" w:hAnsi="Times New Roman" w:cs="Times New Roman"/>
          <w:b/>
          <w:sz w:val="24"/>
          <w:szCs w:val="24"/>
        </w:rPr>
      </w:pPr>
      <w:r w:rsidRPr="00411EBB">
        <w:rPr>
          <w:rFonts w:ascii="Times New Roman" w:hAnsi="Times New Roman" w:cs="Times New Roman"/>
          <w:b/>
          <w:sz w:val="24"/>
          <w:szCs w:val="24"/>
        </w:rPr>
        <w:t>The National Labor Relations Board’s significant responsibilities</w:t>
      </w:r>
    </w:p>
    <w:p w:rsidR="00DF6819" w:rsidRPr="00DF6819" w:rsidRDefault="00DF6819" w:rsidP="00A7458E">
      <w:pPr>
        <w:spacing w:after="0" w:line="480" w:lineRule="auto"/>
        <w:ind w:firstLine="720"/>
        <w:contextualSpacing/>
        <w:rPr>
          <w:rFonts w:ascii="Times New Roman" w:hAnsi="Times New Roman" w:cs="Times New Roman"/>
          <w:sz w:val="24"/>
          <w:szCs w:val="24"/>
        </w:rPr>
      </w:pPr>
      <w:r w:rsidRPr="00DF6819">
        <w:rPr>
          <w:rFonts w:ascii="Times New Roman" w:hAnsi="Times New Roman" w:cs="Times New Roman"/>
          <w:sz w:val="24"/>
          <w:szCs w:val="24"/>
        </w:rPr>
        <w:t>National Labor Relations Board (NLRB), is an independent federal agency created by the U.S. Congress in 1935 to administer the Wagner Act. The NLRB has three primary functions. The first is to decide when petitioned by employees if the employees have a substantial and significant bargaining unit for them to engage in collective bargaining acts. Secondly, the board determines through secret-ballot elections if the employees in a given business or industry wish to be represented by labor laws. Finally, the NLRB has the role of preventing or correcting any unfair labor practices by the employers.</w:t>
      </w:r>
    </w:p>
    <w:p w:rsidR="00DF6819" w:rsidRPr="00411EBB" w:rsidRDefault="00DF6819" w:rsidP="00A7458E">
      <w:pPr>
        <w:spacing w:after="0" w:line="480" w:lineRule="auto"/>
        <w:contextualSpacing/>
        <w:jc w:val="center"/>
        <w:rPr>
          <w:rFonts w:ascii="Times New Roman" w:hAnsi="Times New Roman" w:cs="Times New Roman"/>
          <w:b/>
          <w:sz w:val="24"/>
          <w:szCs w:val="24"/>
        </w:rPr>
      </w:pPr>
      <w:r w:rsidRPr="00411EBB">
        <w:rPr>
          <w:rFonts w:ascii="Times New Roman" w:hAnsi="Times New Roman" w:cs="Times New Roman"/>
          <w:b/>
          <w:sz w:val="24"/>
          <w:szCs w:val="24"/>
        </w:rPr>
        <w:t>Exclusive Representation</w:t>
      </w:r>
    </w:p>
    <w:p w:rsidR="00DF6819" w:rsidRPr="00DF6819" w:rsidRDefault="00DF6819" w:rsidP="00A7458E">
      <w:pPr>
        <w:spacing w:after="0" w:line="480" w:lineRule="auto"/>
        <w:ind w:firstLine="720"/>
        <w:contextualSpacing/>
        <w:rPr>
          <w:rFonts w:ascii="Times New Roman" w:hAnsi="Times New Roman" w:cs="Times New Roman"/>
          <w:sz w:val="24"/>
          <w:szCs w:val="24"/>
        </w:rPr>
      </w:pPr>
      <w:r w:rsidRPr="00DF6819">
        <w:rPr>
          <w:rFonts w:ascii="Times New Roman" w:hAnsi="Times New Roman" w:cs="Times New Roman"/>
          <w:sz w:val="24"/>
          <w:szCs w:val="24"/>
        </w:rPr>
        <w:t>Under the Wagner Act, the NLRB is allowed to conduct an election among employees group to determine whether a union is the exclusive representative of a group of employees in collective bargaining with employers. In this regard, the majority rule applies, whereby if the election results in the majority of employees voting yes, then the trade union becomes the exclusive representative. Therefore, the concept is that the trade unions hold a substantial bargaining power, exclusively representing the employees’ interests to the employers by the fact that the majority of employees are in agreement with the trade union. Therefore, not every employee has to be satisfied with the trade union, but the fact that the majority are satisfied, the union becomes the exclusive representative of the employees’ interests.</w:t>
      </w:r>
    </w:p>
    <w:p w:rsidR="00DF6819" w:rsidRPr="00DF6819" w:rsidRDefault="00DF6819" w:rsidP="00A7458E">
      <w:pPr>
        <w:spacing w:after="0" w:line="480" w:lineRule="auto"/>
        <w:contextualSpacing/>
        <w:rPr>
          <w:rFonts w:ascii="Times New Roman" w:hAnsi="Times New Roman" w:cs="Times New Roman"/>
          <w:sz w:val="24"/>
          <w:szCs w:val="24"/>
        </w:rPr>
      </w:pPr>
      <w:r w:rsidRPr="00DF6819">
        <w:rPr>
          <w:rFonts w:ascii="Times New Roman" w:hAnsi="Times New Roman" w:cs="Times New Roman"/>
          <w:sz w:val="24"/>
          <w:szCs w:val="24"/>
        </w:rPr>
        <w:br w:type="page"/>
      </w:r>
    </w:p>
    <w:p w:rsidR="002B56E4" w:rsidRPr="00DF6819" w:rsidRDefault="00DF6819" w:rsidP="00A7458E">
      <w:pPr>
        <w:spacing w:after="0" w:line="480" w:lineRule="auto"/>
        <w:contextualSpacing/>
        <w:jc w:val="center"/>
        <w:rPr>
          <w:rFonts w:ascii="Times New Roman" w:hAnsi="Times New Roman" w:cs="Times New Roman"/>
          <w:sz w:val="24"/>
          <w:szCs w:val="24"/>
        </w:rPr>
      </w:pPr>
      <w:r w:rsidRPr="00DF6819">
        <w:rPr>
          <w:rFonts w:ascii="Times New Roman" w:hAnsi="Times New Roman" w:cs="Times New Roman"/>
          <w:sz w:val="24"/>
          <w:szCs w:val="24"/>
        </w:rPr>
        <w:t>References</w:t>
      </w:r>
    </w:p>
    <w:p w:rsidR="00DF6819" w:rsidRPr="00DF6819" w:rsidRDefault="00DF6819" w:rsidP="00A7458E">
      <w:pPr>
        <w:spacing w:after="0" w:line="480" w:lineRule="auto"/>
        <w:ind w:left="720" w:hanging="720"/>
        <w:contextualSpacing/>
        <w:rPr>
          <w:rFonts w:ascii="Times New Roman" w:hAnsi="Times New Roman" w:cs="Times New Roman"/>
          <w:sz w:val="24"/>
          <w:szCs w:val="24"/>
        </w:rPr>
      </w:pPr>
      <w:r w:rsidRPr="00DF6819">
        <w:rPr>
          <w:rFonts w:ascii="Times New Roman" w:hAnsi="Times New Roman" w:cs="Times New Roman"/>
          <w:sz w:val="24"/>
          <w:szCs w:val="24"/>
        </w:rPr>
        <w:t xml:space="preserve">Cihon, P.J., &amp; Castagnera, J. O. (2008). </w:t>
      </w:r>
      <w:r w:rsidRPr="00DF6819">
        <w:rPr>
          <w:rFonts w:ascii="Times New Roman" w:hAnsi="Times New Roman" w:cs="Times New Roman"/>
          <w:i/>
          <w:iCs/>
          <w:sz w:val="24"/>
          <w:szCs w:val="24"/>
        </w:rPr>
        <w:t>Employment and Labor Law</w:t>
      </w:r>
      <w:r w:rsidRPr="00DF6819">
        <w:rPr>
          <w:rFonts w:ascii="Times New Roman" w:hAnsi="Times New Roman" w:cs="Times New Roman"/>
          <w:sz w:val="24"/>
          <w:szCs w:val="24"/>
        </w:rPr>
        <w:t>. South-Western Pub.</w:t>
      </w:r>
    </w:p>
    <w:p w:rsidR="00DF6819" w:rsidRPr="00DF6819" w:rsidRDefault="00DF6819" w:rsidP="00A7458E">
      <w:pPr>
        <w:spacing w:after="0" w:line="480" w:lineRule="auto"/>
        <w:ind w:left="720" w:hanging="720"/>
        <w:contextualSpacing/>
        <w:rPr>
          <w:rFonts w:ascii="Times New Roman" w:hAnsi="Times New Roman" w:cs="Times New Roman"/>
          <w:sz w:val="24"/>
          <w:szCs w:val="24"/>
        </w:rPr>
      </w:pPr>
      <w:r w:rsidRPr="00DF6819">
        <w:rPr>
          <w:rFonts w:ascii="Times New Roman" w:hAnsi="Times New Roman" w:cs="Times New Roman"/>
          <w:sz w:val="24"/>
          <w:szCs w:val="24"/>
        </w:rPr>
        <w:t xml:space="preserve">Docherty, J. C., &amp; Van, V. S. (2012). </w:t>
      </w:r>
      <w:r w:rsidRPr="00DF6819">
        <w:rPr>
          <w:rFonts w:ascii="Times New Roman" w:hAnsi="Times New Roman" w:cs="Times New Roman"/>
          <w:i/>
          <w:iCs/>
          <w:sz w:val="24"/>
          <w:szCs w:val="24"/>
        </w:rPr>
        <w:t>Historical Dictionary of Organized Labor</w:t>
      </w:r>
      <w:r w:rsidRPr="00DF6819">
        <w:rPr>
          <w:rFonts w:ascii="Times New Roman" w:hAnsi="Times New Roman" w:cs="Times New Roman"/>
          <w:sz w:val="24"/>
          <w:szCs w:val="24"/>
        </w:rPr>
        <w:t xml:space="preserve">. Lanham: </w:t>
      </w:r>
      <w:r>
        <w:rPr>
          <w:rFonts w:ascii="Times New Roman" w:hAnsi="Times New Roman" w:cs="Times New Roman"/>
          <w:sz w:val="24"/>
          <w:szCs w:val="24"/>
        </w:rPr>
        <w:tab/>
      </w:r>
      <w:r w:rsidRPr="00DF6819">
        <w:rPr>
          <w:rFonts w:ascii="Times New Roman" w:hAnsi="Times New Roman" w:cs="Times New Roman"/>
          <w:sz w:val="24"/>
          <w:szCs w:val="24"/>
        </w:rPr>
        <w:t>Scarecrow Press.</w:t>
      </w:r>
    </w:p>
    <w:p w:rsidR="00DF6819" w:rsidRPr="00DF6819" w:rsidRDefault="00DF6819" w:rsidP="00A7458E">
      <w:pPr>
        <w:spacing w:after="0" w:line="480" w:lineRule="auto"/>
        <w:ind w:left="720" w:hanging="720"/>
        <w:contextualSpacing/>
        <w:rPr>
          <w:rFonts w:ascii="Times New Roman" w:hAnsi="Times New Roman" w:cs="Times New Roman"/>
          <w:sz w:val="24"/>
          <w:szCs w:val="24"/>
        </w:rPr>
      </w:pPr>
      <w:r w:rsidRPr="00DF6819">
        <w:rPr>
          <w:rFonts w:ascii="Times New Roman" w:hAnsi="Times New Roman" w:cs="Times New Roman"/>
          <w:sz w:val="24"/>
          <w:szCs w:val="24"/>
        </w:rPr>
        <w:t xml:space="preserve">Holley, W. H., Jennings, K. M., &amp; Wolters, R. S. (2012). </w:t>
      </w:r>
      <w:r w:rsidRPr="00DF6819">
        <w:rPr>
          <w:rFonts w:ascii="Times New Roman" w:hAnsi="Times New Roman" w:cs="Times New Roman"/>
          <w:i/>
          <w:iCs/>
          <w:sz w:val="24"/>
          <w:szCs w:val="24"/>
        </w:rPr>
        <w:t>The la</w:t>
      </w:r>
      <w:bookmarkStart w:id="0" w:name="_GoBack"/>
      <w:bookmarkEnd w:id="0"/>
      <w:r w:rsidRPr="00DF6819">
        <w:rPr>
          <w:rFonts w:ascii="Times New Roman" w:hAnsi="Times New Roman" w:cs="Times New Roman"/>
          <w:i/>
          <w:iCs/>
          <w:sz w:val="24"/>
          <w:szCs w:val="24"/>
        </w:rPr>
        <w:t>bor relations process</w:t>
      </w:r>
      <w:r w:rsidRPr="00DF6819">
        <w:rPr>
          <w:rFonts w:ascii="Times New Roman" w:hAnsi="Times New Roman" w:cs="Times New Roman"/>
          <w:sz w:val="24"/>
          <w:szCs w:val="24"/>
        </w:rPr>
        <w:t xml:space="preserve">. Mason, </w:t>
      </w:r>
      <w:r>
        <w:rPr>
          <w:rFonts w:ascii="Times New Roman" w:hAnsi="Times New Roman" w:cs="Times New Roman"/>
          <w:sz w:val="24"/>
          <w:szCs w:val="24"/>
        </w:rPr>
        <w:tab/>
      </w:r>
      <w:r w:rsidRPr="00DF6819">
        <w:rPr>
          <w:rFonts w:ascii="Times New Roman" w:hAnsi="Times New Roman" w:cs="Times New Roman"/>
          <w:sz w:val="24"/>
          <w:szCs w:val="24"/>
        </w:rPr>
        <w:t>OH: South-Western Cengage Learning.</w:t>
      </w:r>
    </w:p>
    <w:p w:rsidR="00DF6819" w:rsidRPr="00DF6819" w:rsidRDefault="00DF6819" w:rsidP="00A7458E">
      <w:pPr>
        <w:spacing w:after="0" w:line="480" w:lineRule="auto"/>
        <w:contextualSpacing/>
        <w:rPr>
          <w:rFonts w:ascii="Times New Roman" w:hAnsi="Times New Roman" w:cs="Times New Roman"/>
          <w:sz w:val="24"/>
          <w:szCs w:val="24"/>
        </w:rPr>
      </w:pPr>
    </w:p>
    <w:sectPr w:rsidR="00DF6819" w:rsidRPr="00DF6819" w:rsidSect="00DF68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FD8" w:rsidRDefault="00854FD8" w:rsidP="00DF6819">
      <w:pPr>
        <w:spacing w:after="0" w:line="240" w:lineRule="auto"/>
      </w:pPr>
      <w:r>
        <w:separator/>
      </w:r>
    </w:p>
  </w:endnote>
  <w:endnote w:type="continuationSeparator" w:id="0">
    <w:p w:rsidR="00854FD8" w:rsidRDefault="00854FD8" w:rsidP="00DF6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FD8" w:rsidRDefault="00854FD8" w:rsidP="00DF6819">
      <w:pPr>
        <w:spacing w:after="0" w:line="240" w:lineRule="auto"/>
      </w:pPr>
      <w:r>
        <w:separator/>
      </w:r>
    </w:p>
  </w:footnote>
  <w:footnote w:type="continuationSeparator" w:id="0">
    <w:p w:rsidR="00854FD8" w:rsidRDefault="00854FD8" w:rsidP="00DF68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819" w:rsidRPr="00DF6819" w:rsidRDefault="00DF6819">
    <w:pPr>
      <w:pStyle w:val="Header"/>
      <w:jc w:val="right"/>
      <w:rPr>
        <w:rFonts w:ascii="Times New Roman" w:hAnsi="Times New Roman" w:cs="Times New Roman"/>
        <w:sz w:val="24"/>
        <w:szCs w:val="24"/>
      </w:rPr>
    </w:pPr>
    <w:r w:rsidRPr="00DF6819">
      <w:rPr>
        <w:rFonts w:ascii="Times New Roman" w:hAnsi="Times New Roman" w:cs="Times New Roman"/>
        <w:sz w:val="24"/>
        <w:szCs w:val="24"/>
      </w:rPr>
      <w:t>LABOR RELATIONS</w:t>
    </w:r>
    <w:r w:rsidRPr="00DF6819">
      <w:rPr>
        <w:rFonts w:ascii="Times New Roman" w:hAnsi="Times New Roman" w:cs="Times New Roman"/>
        <w:sz w:val="24"/>
        <w:szCs w:val="24"/>
      </w:rPr>
      <w:tab/>
    </w:r>
    <w:r w:rsidRPr="00DF6819">
      <w:rPr>
        <w:rFonts w:ascii="Times New Roman" w:hAnsi="Times New Roman" w:cs="Times New Roman"/>
        <w:sz w:val="24"/>
        <w:szCs w:val="24"/>
      </w:rPr>
      <w:tab/>
    </w:r>
    <w:sdt>
      <w:sdtPr>
        <w:rPr>
          <w:rFonts w:ascii="Times New Roman" w:hAnsi="Times New Roman" w:cs="Times New Roman"/>
          <w:sz w:val="24"/>
          <w:szCs w:val="24"/>
        </w:rPr>
        <w:id w:val="650875132"/>
        <w:docPartObj>
          <w:docPartGallery w:val="Page Numbers (Top of Page)"/>
          <w:docPartUnique/>
        </w:docPartObj>
      </w:sdtPr>
      <w:sdtEndPr>
        <w:rPr>
          <w:noProof/>
        </w:rPr>
      </w:sdtEndPr>
      <w:sdtContent>
        <w:r w:rsidRPr="00DF6819">
          <w:rPr>
            <w:rFonts w:ascii="Times New Roman" w:hAnsi="Times New Roman" w:cs="Times New Roman"/>
            <w:sz w:val="24"/>
            <w:szCs w:val="24"/>
          </w:rPr>
          <w:fldChar w:fldCharType="begin"/>
        </w:r>
        <w:r w:rsidRPr="00DF6819">
          <w:rPr>
            <w:rFonts w:ascii="Times New Roman" w:hAnsi="Times New Roman" w:cs="Times New Roman"/>
            <w:sz w:val="24"/>
            <w:szCs w:val="24"/>
          </w:rPr>
          <w:instrText xml:space="preserve"> PAGE   \* MERGEFORMAT </w:instrText>
        </w:r>
        <w:r w:rsidRPr="00DF6819">
          <w:rPr>
            <w:rFonts w:ascii="Times New Roman" w:hAnsi="Times New Roman" w:cs="Times New Roman"/>
            <w:sz w:val="24"/>
            <w:szCs w:val="24"/>
          </w:rPr>
          <w:fldChar w:fldCharType="separate"/>
        </w:r>
        <w:r w:rsidR="00A7458E">
          <w:rPr>
            <w:rFonts w:ascii="Times New Roman" w:hAnsi="Times New Roman" w:cs="Times New Roman"/>
            <w:noProof/>
            <w:sz w:val="24"/>
            <w:szCs w:val="24"/>
          </w:rPr>
          <w:t>7</w:t>
        </w:r>
        <w:r w:rsidRPr="00DF681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819" w:rsidRPr="00DF6819" w:rsidRDefault="00DF6819" w:rsidP="00DF6819">
    <w:pPr>
      <w:pStyle w:val="Header"/>
      <w:jc w:val="right"/>
      <w:rPr>
        <w:rFonts w:ascii="Times New Roman" w:hAnsi="Times New Roman" w:cs="Times New Roman"/>
        <w:sz w:val="24"/>
        <w:szCs w:val="24"/>
      </w:rPr>
    </w:pPr>
    <w:r w:rsidRPr="00DF6819">
      <w:rPr>
        <w:rFonts w:ascii="Times New Roman" w:hAnsi="Times New Roman" w:cs="Times New Roman"/>
        <w:sz w:val="24"/>
        <w:szCs w:val="24"/>
      </w:rPr>
      <w:t>Running head: LABOR RELATIONS</w:t>
    </w:r>
    <w:r w:rsidRPr="00DF6819">
      <w:rPr>
        <w:rFonts w:ascii="Times New Roman" w:hAnsi="Times New Roman" w:cs="Times New Roman"/>
        <w:sz w:val="24"/>
        <w:szCs w:val="24"/>
      </w:rPr>
      <w:tab/>
    </w:r>
    <w:r w:rsidRPr="00DF6819">
      <w:rPr>
        <w:rFonts w:ascii="Times New Roman" w:hAnsi="Times New Roman" w:cs="Times New Roman"/>
        <w:sz w:val="24"/>
        <w:szCs w:val="24"/>
      </w:rPr>
      <w:tab/>
    </w:r>
    <w:sdt>
      <w:sdtPr>
        <w:rPr>
          <w:rFonts w:ascii="Times New Roman" w:hAnsi="Times New Roman" w:cs="Times New Roman"/>
          <w:sz w:val="24"/>
          <w:szCs w:val="24"/>
        </w:rPr>
        <w:id w:val="1699357657"/>
        <w:docPartObj>
          <w:docPartGallery w:val="Page Numbers (Top of Page)"/>
          <w:docPartUnique/>
        </w:docPartObj>
      </w:sdtPr>
      <w:sdtEndPr>
        <w:rPr>
          <w:noProof/>
        </w:rPr>
      </w:sdtEndPr>
      <w:sdtContent>
        <w:r w:rsidRPr="00DF6819">
          <w:rPr>
            <w:rFonts w:ascii="Times New Roman" w:hAnsi="Times New Roman" w:cs="Times New Roman"/>
            <w:sz w:val="24"/>
            <w:szCs w:val="24"/>
          </w:rPr>
          <w:fldChar w:fldCharType="begin"/>
        </w:r>
        <w:r w:rsidRPr="00DF6819">
          <w:rPr>
            <w:rFonts w:ascii="Times New Roman" w:hAnsi="Times New Roman" w:cs="Times New Roman"/>
            <w:sz w:val="24"/>
            <w:szCs w:val="24"/>
          </w:rPr>
          <w:instrText xml:space="preserve"> PAGE   \* MERGEFORMAT </w:instrText>
        </w:r>
        <w:r w:rsidRPr="00DF6819">
          <w:rPr>
            <w:rFonts w:ascii="Times New Roman" w:hAnsi="Times New Roman" w:cs="Times New Roman"/>
            <w:sz w:val="24"/>
            <w:szCs w:val="24"/>
          </w:rPr>
          <w:fldChar w:fldCharType="separate"/>
        </w:r>
        <w:r w:rsidR="00854FD8">
          <w:rPr>
            <w:rFonts w:ascii="Times New Roman" w:hAnsi="Times New Roman" w:cs="Times New Roman"/>
            <w:noProof/>
            <w:sz w:val="24"/>
            <w:szCs w:val="24"/>
          </w:rPr>
          <w:t>1</w:t>
        </w:r>
        <w:r w:rsidRPr="00DF681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3tbQwsjQBkhZGJko6SsGpxcWZ+XkgBYa1AA8R8C4sAAAA"/>
  </w:docVars>
  <w:rsids>
    <w:rsidRoot w:val="00636625"/>
    <w:rsid w:val="00157E13"/>
    <w:rsid w:val="002B56E4"/>
    <w:rsid w:val="00404BA0"/>
    <w:rsid w:val="00411EBB"/>
    <w:rsid w:val="0050150E"/>
    <w:rsid w:val="006117CA"/>
    <w:rsid w:val="00636625"/>
    <w:rsid w:val="006D49D8"/>
    <w:rsid w:val="00762CDB"/>
    <w:rsid w:val="007F7C7B"/>
    <w:rsid w:val="00854FD8"/>
    <w:rsid w:val="00A7458E"/>
    <w:rsid w:val="00AE3AC8"/>
    <w:rsid w:val="00B53E41"/>
    <w:rsid w:val="00D3384C"/>
    <w:rsid w:val="00DF6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819"/>
  </w:style>
  <w:style w:type="paragraph" w:styleId="Footer">
    <w:name w:val="footer"/>
    <w:basedOn w:val="Normal"/>
    <w:link w:val="FooterChar"/>
    <w:uiPriority w:val="99"/>
    <w:unhideWhenUsed/>
    <w:rsid w:val="00DF6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8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819"/>
  </w:style>
  <w:style w:type="paragraph" w:styleId="Footer">
    <w:name w:val="footer"/>
    <w:basedOn w:val="Normal"/>
    <w:link w:val="FooterChar"/>
    <w:uiPriority w:val="99"/>
    <w:unhideWhenUsed/>
    <w:rsid w:val="00DF6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1371</Words>
  <Characters>7820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2019-03-11T06:38:00Z</dcterms:created>
  <dcterms:modified xsi:type="dcterms:W3CDTF">2019-03-11T06:38:00Z</dcterms:modified>
</cp:coreProperties>
</file>